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各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旗县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市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（区）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总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工会实施集体协商五年规划情况评价表（总分值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105分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）</w:t>
      </w:r>
    </w:p>
    <w:p>
      <w:pPr>
        <w:jc w:val="left"/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被检查单位：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                             检查人员：              年   月   日</w:t>
      </w:r>
    </w:p>
    <w:tbl>
      <w:tblPr>
        <w:tblStyle w:val="3"/>
        <w:tblW w:w="1336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01"/>
        <w:gridCol w:w="5840"/>
        <w:gridCol w:w="2782"/>
        <w:gridCol w:w="916"/>
        <w:gridCol w:w="12"/>
        <w:gridCol w:w="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标准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佐证材料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得分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巩固建制率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建会企业集体合同和工资专项集体合同签订率达到80%以上的得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，每降低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10%扣减5分，60%以下不得分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；其中百人以上建会企业集体合同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和工资专项集体合同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签订率达到90%以上的得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，每降低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10%扣减5分，70%以下不得分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提供办公室统计数据，由检查组现场核算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加强顶层设计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制定深化集体协商五年规划实施意见或提质增效实施意见得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10分，反之不得分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提供相关红头文件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认真组织开展要约行动季活动（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每年第一季度组织开展要约行动季活动，向所属基层工会发出要约提示函，指导和帮助所属基层工会向企业提出要约，采取具体举措推动要约季深入开展得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20分，反之不得分</w:t>
            </w:r>
          </w:p>
        </w:tc>
        <w:tc>
          <w:tcPr>
            <w:tcW w:w="2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提供相关文件，活动信息、图片资料等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加强典型培育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5年共培育3个行业、5个企业、2个区域典型单位得20分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，每减少1家扣减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。（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典型单位的集体协商要法定必要程序完整，有具体的年度职工工资调整幅度，至少有2项在法律规定底线以上让职工受益的奖金或福利内容。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）典型单位合同文本实效性、操作性不强，要减半赋分。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提供典型合同文本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及相关程序资料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强化工作培训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>15分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每年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至少举办一期集体协商工作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培训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班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得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分，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eastAsia="zh-CN"/>
              </w:rPr>
              <w:t>每减少</w:t>
            </w: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lang w:val="en-US" w:eastAsia="zh-CN"/>
              </w:rPr>
              <w:t>1次扣减3分。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</w:rPr>
              <w:t>提供办班通知和图片资料。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</w:rPr>
              <w:t>建立健全台账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15分）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建立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</w:rPr>
              <w:t>本地区集体合同和工资集体协商实名制电子档案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实现动态管理的得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15分，反之不得分。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提供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</w:rPr>
              <w:t>应签订和已签订集体合同和工资专项集体合同的单位名册</w:t>
            </w:r>
            <w:r>
              <w:rPr>
                <w:rFonts w:hint="eastAsia" w:ascii="仿宋_GB2312" w:hAnsi="Calibri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（电子版也可以）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="仿宋_GB2312"/>
                <w:b w:val="0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>创新举措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（加分项目，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5分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5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集体协商工作推进方式方法有创新、产生重大影响的，经审核同意，加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分。</w:t>
            </w:r>
          </w:p>
        </w:tc>
        <w:tc>
          <w:tcPr>
            <w:tcW w:w="2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 w:val="32"/>
                <w:szCs w:val="32"/>
              </w:rPr>
              <w:t>提交专项申报材料，同时附上相关措施、成效、影响力等辅助材料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left="0" w:leftChars="0" w:right="0" w:rightChars="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注：评价内容总分值</w:t>
      </w:r>
      <w:r>
        <w:rPr>
          <w:rFonts w:hint="eastAsia"/>
          <w:sz w:val="28"/>
          <w:szCs w:val="28"/>
          <w:lang w:val="en-US" w:eastAsia="zh-CN"/>
        </w:rPr>
        <w:t>105分，其中基础评价分为100分，加分项目为5分。</w:t>
      </w:r>
    </w:p>
    <w:p>
      <w:pPr>
        <w:rPr>
          <w:rFonts w:hint="eastAsia" w:eastAsiaTheme="minorEastAsia"/>
          <w:lang w:eastAsia="zh-CN"/>
        </w:rPr>
      </w:pP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022EE"/>
    <w:rsid w:val="046B02D8"/>
    <w:rsid w:val="06AF2379"/>
    <w:rsid w:val="307022EE"/>
    <w:rsid w:val="36066BB2"/>
    <w:rsid w:val="5C213A5E"/>
    <w:rsid w:val="6BEF5615"/>
    <w:rsid w:val="6E6D0310"/>
    <w:rsid w:val="6F2E4D86"/>
    <w:rsid w:val="72B40A36"/>
    <w:rsid w:val="7C372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bjy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2018-03-29T01:25:00Z</dcterms:created>
  <dc:creator>nmg</dc:creator>
  <cp:lastModifiedBy>拔叔丶</cp:lastModifiedBy>
  <cp:lastPrinted>2018-03-30T07:25:00Z</cp:lastPrinted>
  <dcterms:modified xsi:type="dcterms:W3CDTF">2018-07-25T00:58:26Z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